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B2" w:rsidRDefault="00F967FC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536368" w:rsidRDefault="00C82EF7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6120765" cy="8423553"/>
            <wp:effectExtent l="0" t="0" r="0" b="0"/>
            <wp:docPr id="1" name="Рисунок 1" descr="E:\ДОП. ОБР. 24-25\+++24-25 программы учителей\баске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П. ОБР. 24-25\+++24-25 программы учителей\баске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68" w:rsidRDefault="00536368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36368" w:rsidRDefault="00536368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AE29B2" w:rsidRDefault="00AE29B2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82EF7" w:rsidRDefault="00C82EF7" w:rsidP="00386B7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61548D" w:rsidRPr="00AE29B2" w:rsidRDefault="0061548D" w:rsidP="00AE29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</w:t>
      </w:r>
      <w:r w:rsidR="000D61B6" w:rsidRPr="00AE29B2">
        <w:rPr>
          <w:color w:val="333333"/>
          <w:sz w:val="28"/>
          <w:szCs w:val="28"/>
        </w:rPr>
        <w:t xml:space="preserve">ний. Программа рассчитана на </w:t>
      </w:r>
      <w:r w:rsidR="000C1294">
        <w:rPr>
          <w:color w:val="333333"/>
          <w:sz w:val="28"/>
          <w:szCs w:val="28"/>
        </w:rPr>
        <w:t>68</w:t>
      </w:r>
      <w:r w:rsidR="009E2165" w:rsidRPr="00AE29B2">
        <w:rPr>
          <w:color w:val="333333"/>
          <w:sz w:val="28"/>
          <w:szCs w:val="28"/>
        </w:rPr>
        <w:t xml:space="preserve"> часов</w:t>
      </w:r>
      <w:r w:rsidRPr="00AE29B2">
        <w:rPr>
          <w:color w:val="333333"/>
          <w:sz w:val="28"/>
          <w:szCs w:val="28"/>
        </w:rPr>
        <w:t xml:space="preserve"> в год, </w:t>
      </w:r>
      <w:r w:rsidR="000C1294">
        <w:rPr>
          <w:color w:val="333333"/>
          <w:sz w:val="28"/>
          <w:szCs w:val="28"/>
        </w:rPr>
        <w:t>2</w:t>
      </w:r>
      <w:r w:rsidRPr="00AE29B2">
        <w:rPr>
          <w:color w:val="333333"/>
          <w:sz w:val="28"/>
          <w:szCs w:val="28"/>
        </w:rPr>
        <w:t xml:space="preserve"> часа в неделю. 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           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 xml:space="preserve">            В возрасте </w:t>
      </w:r>
      <w:r w:rsidRPr="000C1294">
        <w:rPr>
          <w:color w:val="000000" w:themeColor="text1"/>
          <w:sz w:val="28"/>
          <w:szCs w:val="28"/>
        </w:rPr>
        <w:t>13-17 лет</w:t>
      </w:r>
      <w:r w:rsidR="00F967FC">
        <w:rPr>
          <w:color w:val="000000" w:themeColor="text1"/>
          <w:sz w:val="28"/>
          <w:szCs w:val="28"/>
        </w:rPr>
        <w:t xml:space="preserve"> </w:t>
      </w:r>
      <w:r w:rsidRPr="00AE29B2">
        <w:rPr>
          <w:color w:val="333333"/>
          <w:sz w:val="28"/>
          <w:szCs w:val="28"/>
        </w:rPr>
        <w:t>необходимо учить детей согласовывать индивидуальные и простые командные технико-тактические взаимодействия (с мячом и без мяча) в нападении и защите. Отличительной особенностью элементов является их логическая обусловленность требованиями игрового противоборства. Такие приемы техники, как передвижение, повороты, прыжки, входят составной частью в игровые действия.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Цель программы</w:t>
      </w:r>
      <w:r w:rsidRPr="00AE29B2">
        <w:rPr>
          <w:color w:val="333333"/>
          <w:sz w:val="28"/>
          <w:szCs w:val="28"/>
        </w:rPr>
        <w:t> – углубленное изучение спортивной игры баскетбол.</w:t>
      </w:r>
    </w:p>
    <w:p w:rsidR="00AE29B2" w:rsidRDefault="00AE29B2" w:rsidP="00182F8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Основными  задачами программы являются:</w:t>
      </w:r>
    </w:p>
    <w:p w:rsidR="003A10E7" w:rsidRPr="00AE29B2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Укрепление здоровья</w:t>
      </w:r>
    </w:p>
    <w:p w:rsidR="003A10E7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Содействие правильному физическому развитию</w:t>
      </w:r>
    </w:p>
    <w:p w:rsidR="00F967FC" w:rsidRPr="00AE29B2" w:rsidRDefault="00F967FC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A10E7" w:rsidRPr="00AE29B2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lastRenderedPageBreak/>
        <w:t>Приобретение необходимых теоретических знаний</w:t>
      </w:r>
    </w:p>
    <w:p w:rsidR="003A10E7" w:rsidRPr="00AE29B2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Овладение основными приемами техники и тактики игры</w:t>
      </w:r>
    </w:p>
    <w:p w:rsidR="003A10E7" w:rsidRPr="00AE29B2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Воспитание воли, смелости, настойчивости, дисциплинированности, коллективизма, чувства дружбы</w:t>
      </w:r>
    </w:p>
    <w:p w:rsidR="003A10E7" w:rsidRPr="00AE29B2" w:rsidRDefault="003A10E7" w:rsidP="003A10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Повышение специальной, физической, тактической подготовки</w:t>
      </w:r>
    </w:p>
    <w:p w:rsidR="00A5052F" w:rsidRPr="00182F8C" w:rsidRDefault="003A10E7" w:rsidP="00182F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  <w:i w:val="0"/>
          <w:iCs w:val="0"/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Подготовка учащихся к соревнованиям по баскетболу</w:t>
      </w:r>
    </w:p>
    <w:p w:rsidR="00CD05BD" w:rsidRPr="00AE29B2" w:rsidRDefault="00CD05BD" w:rsidP="00CD0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7567699"/>
      <w:bookmarkEnd w:id="0"/>
      <w:r w:rsidRPr="00AE29B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Способы самостоятельной деятельности.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Техническая подготовка и её значение для человека, основные правила технической подготовки в баскетболе.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Физическое совершенствование.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Физкультурно-оздоровительная деятельность.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Спортивно-оздоровительная деятельность.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Тактические действия в защите и в нападении.</w:t>
      </w:r>
    </w:p>
    <w:p w:rsidR="003A10E7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Теоретическая подготовка</w:t>
      </w:r>
      <w:r w:rsidRPr="00AE29B2">
        <w:rPr>
          <w:color w:val="333333"/>
          <w:sz w:val="28"/>
          <w:szCs w:val="28"/>
        </w:rPr>
        <w:t> 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</w:t>
      </w:r>
      <w:r w:rsidR="00182F8C">
        <w:rPr>
          <w:color w:val="333333"/>
          <w:sz w:val="28"/>
          <w:szCs w:val="28"/>
        </w:rPr>
        <w:t>акже в форме отдельного занятия.</w:t>
      </w:r>
    </w:p>
    <w:p w:rsidR="00182F8C" w:rsidRDefault="00182F8C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2F8C" w:rsidRDefault="00182F8C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2F8C" w:rsidRPr="00AE29B2" w:rsidRDefault="00182F8C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 xml:space="preserve">Практические занятия должны быть разнообразными и эмоциональными. Содержание видов спортивной подготовки определено исходя из содержания примерной федеральной программы </w:t>
      </w:r>
      <w:proofErr w:type="spellStart"/>
      <w:r w:rsidRPr="00AE29B2">
        <w:rPr>
          <w:color w:val="333333"/>
          <w:sz w:val="28"/>
          <w:szCs w:val="28"/>
        </w:rPr>
        <w:t>А.П.Матвеева</w:t>
      </w:r>
      <w:proofErr w:type="spellEnd"/>
      <w:r w:rsidRPr="00AE29B2">
        <w:rPr>
          <w:color w:val="333333"/>
          <w:sz w:val="28"/>
          <w:szCs w:val="28"/>
        </w:rPr>
        <w:t>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подготовка дифференцирована на упражнения общей и специальной подготовки.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Техническая подготовка</w:t>
      </w:r>
      <w:r w:rsidRPr="00AE29B2">
        <w:rPr>
          <w:color w:val="333333"/>
          <w:sz w:val="28"/>
          <w:szCs w:val="28"/>
        </w:rPr>
        <w:t> 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 xml:space="preserve">Кроме того, в программе представлены контрольные тесты для </w:t>
      </w:r>
      <w:proofErr w:type="gramStart"/>
      <w:r w:rsidRPr="00AE29B2">
        <w:rPr>
          <w:color w:val="333333"/>
          <w:sz w:val="28"/>
          <w:szCs w:val="28"/>
        </w:rPr>
        <w:t>занимающихся</w:t>
      </w:r>
      <w:proofErr w:type="gramEnd"/>
      <w:r w:rsidRPr="00AE29B2">
        <w:rPr>
          <w:color w:val="333333"/>
          <w:sz w:val="28"/>
          <w:szCs w:val="28"/>
        </w:rPr>
        <w:t xml:space="preserve">, по физической и технической подготовленности, а также методическое обеспечение и литература.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 Тестирование уровня технической подготовленности проводится по контрольным упражнениям, представленным в методическом пособии В.Т. </w:t>
      </w:r>
      <w:proofErr w:type="spellStart"/>
      <w:r w:rsidRPr="00AE29B2">
        <w:rPr>
          <w:color w:val="333333"/>
          <w:sz w:val="28"/>
          <w:szCs w:val="28"/>
        </w:rPr>
        <w:t>Чичикина</w:t>
      </w:r>
      <w:proofErr w:type="spellEnd"/>
      <w:r w:rsidRPr="00AE29B2">
        <w:rPr>
          <w:color w:val="333333"/>
          <w:sz w:val="28"/>
          <w:szCs w:val="28"/>
        </w:rPr>
        <w:t xml:space="preserve">, П.В. Игнатьева «Проектирование учебного процесса по физической культуре в общеобразовательном учреждении». Тестирование уровня физической подготовленности </w:t>
      </w:r>
      <w:proofErr w:type="gramStart"/>
      <w:r w:rsidRPr="00AE29B2">
        <w:rPr>
          <w:color w:val="333333"/>
          <w:sz w:val="28"/>
          <w:szCs w:val="28"/>
        </w:rPr>
        <w:t>занимающихся</w:t>
      </w:r>
      <w:proofErr w:type="gramEnd"/>
      <w:r w:rsidRPr="00AE29B2">
        <w:rPr>
          <w:color w:val="333333"/>
          <w:sz w:val="28"/>
          <w:szCs w:val="28"/>
        </w:rPr>
        <w:t xml:space="preserve"> проводится по региональным тестам в начале и в конце учебного года с их последующим анализом и представлением занимающимся. Содержательное обеспечение разделов программы.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 </w:t>
      </w:r>
      <w:r w:rsidRPr="00AE29B2">
        <w:rPr>
          <w:color w:val="333333"/>
          <w:sz w:val="28"/>
          <w:szCs w:val="28"/>
        </w:rPr>
        <w:br/>
      </w:r>
      <w:r w:rsidRPr="00AE29B2">
        <w:rPr>
          <w:b/>
          <w:bCs/>
          <w:color w:val="333333"/>
          <w:sz w:val="28"/>
          <w:szCs w:val="28"/>
        </w:rPr>
        <w:t>Теоретическая подготовка</w:t>
      </w:r>
      <w:r w:rsidRPr="00AE29B2">
        <w:rPr>
          <w:b/>
          <w:bCs/>
          <w:color w:val="333333"/>
          <w:sz w:val="28"/>
          <w:szCs w:val="28"/>
        </w:rPr>
        <w:br/>
      </w:r>
      <w:r w:rsidRPr="00AE29B2">
        <w:rPr>
          <w:color w:val="333333"/>
          <w:sz w:val="28"/>
          <w:szCs w:val="28"/>
        </w:rPr>
        <w:t>1. Развитие баскетбола в России и за рубежом.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 Общая характеристика сторон подготовки спортсмена.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 Физическая подготовка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 Техническая подготовка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5. Тактическая подготовка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6. Психологическая подготовка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7. Соревновательная деятельность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8. Организация и проведение соревнований по баскетболу.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9. Правила судейства соревнований по баскетболу.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10. Места занятий, оборудование и инвентарь для занятий баскетболом.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Физическая подготовка</w:t>
      </w:r>
      <w:r w:rsidRPr="00AE29B2">
        <w:rPr>
          <w:color w:val="333333"/>
          <w:sz w:val="28"/>
          <w:szCs w:val="28"/>
        </w:rPr>
        <w:br/>
        <w:t>1. Общая физическая подготовка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lastRenderedPageBreak/>
        <w:t xml:space="preserve">1.1. </w:t>
      </w:r>
      <w:proofErr w:type="gramStart"/>
      <w:r w:rsidRPr="00AE29B2">
        <w:rPr>
          <w:color w:val="333333"/>
          <w:sz w:val="28"/>
          <w:szCs w:val="28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AE29B2">
        <w:rPr>
          <w:color w:val="333333"/>
          <w:sz w:val="28"/>
          <w:szCs w:val="28"/>
        </w:rPr>
        <w:t>фитболами</w:t>
      </w:r>
      <w:proofErr w:type="spellEnd"/>
      <w:r w:rsidRPr="00AE29B2">
        <w:rPr>
          <w:color w:val="333333"/>
          <w:sz w:val="28"/>
          <w:szCs w:val="28"/>
        </w:rPr>
        <w:t>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proofErr w:type="gramEnd"/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1.2. Подвижные игры.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1.3. Эстафеты.</w:t>
      </w:r>
      <w:r w:rsidRPr="00AE29B2">
        <w:rPr>
          <w:color w:val="333333"/>
          <w:sz w:val="28"/>
          <w:szCs w:val="28"/>
        </w:rPr>
        <w:br/>
        <w:t>1.4. Полосы препятствий.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1.5. Акробатические упражнения (кувырки, стойки, перевороты, перекаты).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 Специальная физическая подготовка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2.1. Упражнения для развития быстроты движений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2.2. Упражнения для развития специальной выносливости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2.3. Упражнения для развития скоростно-силовых качеств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2.4. Упражнения для развития ловкости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Техническая подготовка</w:t>
      </w:r>
      <w:r w:rsidRPr="00AE29B2">
        <w:rPr>
          <w:color w:val="333333"/>
          <w:sz w:val="28"/>
          <w:szCs w:val="28"/>
        </w:rPr>
        <w:br/>
        <w:t>1. Упражнения без мяча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1.1. Прыжок вверх-вперед толчком одной и приземлением на одну ногу.</w:t>
      </w:r>
      <w:r w:rsidRPr="00AE29B2">
        <w:rPr>
          <w:color w:val="333333"/>
          <w:sz w:val="28"/>
          <w:szCs w:val="28"/>
        </w:rPr>
        <w:br/>
        <w:t>1.2. Передвижение приставными шагами правым (левым) боком: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· с разной скоростью;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· в одном и в разных направлениях.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1.3. Передвижение правым – левым боком.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1.4. Передвижение в стойке баскетболиста.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1.5. Остановка прыжком после ускорения.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1.6. Остановка в один шаг после ускорения.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1.7. Остановка в два шага после ускорения.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1.8. Повороты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1.9. Повороты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1.10. Имитация защитных действий против игрока нападения.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1.11. Имитация действий атаки против игрока защиты.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 Ловля и передача мяча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2.1. Двумя руками от груди, стоя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2.2. Двумя руками от груди с шагом вперед.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2.3. Двумя руками от груди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2.4. Передача одной рукой от плеча.</w:t>
      </w:r>
    </w:p>
    <w:p w:rsidR="00182F8C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2.5. Пере</w:t>
      </w:r>
      <w:r w:rsidR="00182F8C">
        <w:rPr>
          <w:color w:val="333333"/>
          <w:sz w:val="28"/>
          <w:szCs w:val="28"/>
        </w:rPr>
        <w:t>дача одной рукой с шагом вперед.</w:t>
      </w:r>
    </w:p>
    <w:p w:rsidR="00182F8C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2.6. То же после ведения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lastRenderedPageBreak/>
        <w:t>2.7. Передача одной рукой с отскоком от пола.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2.8. Передача двумя руками с отскоком от пола.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2.9. Передача одной рукой снизу от пола.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2.10. То же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 xml:space="preserve">2.11. Ловля мяча после </w:t>
      </w:r>
      <w:proofErr w:type="spellStart"/>
      <w:r w:rsidRPr="00AE29B2">
        <w:rPr>
          <w:color w:val="333333"/>
          <w:sz w:val="28"/>
          <w:szCs w:val="28"/>
        </w:rPr>
        <w:t>полуотскока</w:t>
      </w:r>
      <w:proofErr w:type="spellEnd"/>
      <w:r w:rsidRPr="00AE29B2">
        <w:rPr>
          <w:color w:val="333333"/>
          <w:sz w:val="28"/>
          <w:szCs w:val="28"/>
        </w:rPr>
        <w:t>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2.12. Ловля высоко летящего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2.13. Ловля катящегося мяча, стоя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2.14. Ловля катящегося мяча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 3. Ведение мяча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3.1.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3.2. В движении шагом.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3.3. В движении бегом.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3.4. То же с изменением направления и скорости.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3.5. То же с изменением высоты отскока.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3.6. Правой и левой рукой поочередно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3.7. Правой и левой рукой поочередно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 xml:space="preserve">3.8. Перевод мяча с правой руки на </w:t>
      </w:r>
      <w:proofErr w:type="gramStart"/>
      <w:r w:rsidRPr="00AE29B2">
        <w:rPr>
          <w:color w:val="333333"/>
          <w:sz w:val="28"/>
          <w:szCs w:val="28"/>
        </w:rPr>
        <w:t>левую</w:t>
      </w:r>
      <w:proofErr w:type="gramEnd"/>
      <w:r w:rsidRPr="00AE29B2">
        <w:rPr>
          <w:color w:val="333333"/>
          <w:sz w:val="28"/>
          <w:szCs w:val="28"/>
        </w:rPr>
        <w:t xml:space="preserve"> и обратно, стоя на месте.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 Броски мяча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4.1. Одной рукой в баскетбольный щит с места.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4.2. Двумя руками от груди в баскетбольный щит с места.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4.3. Двумя руками от груди в баскетбольный щит после ведения и остановки.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4.4. Двумя руками от груди в баскетбольную корзину с места.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4.5.Двумя руками от груди в баскетбольную корзину после ведения.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4.6.Одной рукой в баскетбольную корзину с места.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4.7. Одной рукой в баскетбольную корзину после ведения.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4.8. Одной рукой в баскетбольную корзину после двух шагов.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4.9. В прыжке одной рукой с места.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4.10. Штрафной.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4.11. Двумя руками снизу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4.12. Одной рукой в прыжке после ловли мяча в движении.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4.13. В прыжке со средней дистанции.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4.14. В прыжке с дальней дистанции.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4.15. Вырывание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lastRenderedPageBreak/>
        <w:t>4.16. Выбивание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 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Тактическая подготовка</w:t>
      </w:r>
      <w:r w:rsidRPr="00AE29B2">
        <w:rPr>
          <w:b/>
          <w:bCs/>
          <w:color w:val="333333"/>
          <w:sz w:val="28"/>
          <w:szCs w:val="28"/>
        </w:rPr>
        <w:br/>
      </w:r>
      <w:r w:rsidRPr="00AE29B2">
        <w:rPr>
          <w:color w:val="333333"/>
          <w:sz w:val="28"/>
          <w:szCs w:val="28"/>
        </w:rPr>
        <w:t>1. Защитные действия при опеке игрока без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2. Защитные действия при опеке игрока с мячом.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3. Перехват мяча.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4. Борьба за мяч после отскока от щита.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5. Быстрый прорыв.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6. Командные действия в защите.</w:t>
      </w:r>
    </w:p>
    <w:p w:rsidR="003A10E7" w:rsidRPr="00AE29B2" w:rsidRDefault="003A10E7" w:rsidP="003A10E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7. Командные действия в нападении.</w:t>
      </w:r>
    </w:p>
    <w:p w:rsidR="00182F8C" w:rsidRPr="00182F8C" w:rsidRDefault="003A10E7" w:rsidP="00182F8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8. Игра в баскетбол с заданными тактическими действиями.</w:t>
      </w:r>
      <w:bookmarkStart w:id="1" w:name="_Toc137567700"/>
      <w:bookmarkEnd w:id="1"/>
    </w:p>
    <w:p w:rsidR="00182F8C" w:rsidRPr="00AE29B2" w:rsidRDefault="00182F8C" w:rsidP="00CD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BD" w:rsidRPr="00AE29B2" w:rsidRDefault="00CD05BD" w:rsidP="00CD05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37548640"/>
      <w:bookmarkEnd w:id="2"/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D05BD" w:rsidRPr="00AE29B2" w:rsidRDefault="00CD05BD" w:rsidP="00CD05B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BD" w:rsidRPr="00AE29B2" w:rsidRDefault="00CD05BD" w:rsidP="00CD0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37548641"/>
      <w:bookmarkEnd w:id="3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«Баскетбол» </w:t>
      </w:r>
      <w:proofErr w:type="gramStart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будут сформированы следующие 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оценивать своё поведение и поступки во время проведения совместных занятий баскетболом, участия в спортивных мероприятиях и соревнованиях;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баскетболом;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CD05BD" w:rsidRPr="00AE29B2" w:rsidRDefault="00CD05BD" w:rsidP="00CD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37567704"/>
      <w:bookmarkEnd w:id="4"/>
    </w:p>
    <w:p w:rsidR="00CD05BD" w:rsidRPr="00AE29B2" w:rsidRDefault="00CD05BD" w:rsidP="00CD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34720971"/>
      <w:bookmarkEnd w:id="5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познавательные учебные действия</w:t>
      </w: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влияние занятий </w:t>
      </w:r>
      <w:r w:rsidR="003A10E7"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положительных качеств личности, устанавливать возможность профилактики вредных привычек;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коммуникативные учебные действия</w:t>
      </w: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регулятивные учебные действия</w:t>
      </w: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разучивать и выполнять технические действия </w:t>
      </w:r>
      <w:r w:rsidR="003A10E7"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баскетболе</w:t>
      </w: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D05BD" w:rsidRPr="00182F8C" w:rsidRDefault="00CD05BD" w:rsidP="00182F8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спортом, применять способы и приёмы помощи в зависимости от характера и признаков полученной травмы.</w:t>
      </w:r>
      <w:bookmarkStart w:id="6" w:name="_Toc137567705"/>
      <w:bookmarkEnd w:id="6"/>
    </w:p>
    <w:p w:rsidR="00CD05BD" w:rsidRPr="00AE29B2" w:rsidRDefault="00CD05BD" w:rsidP="00182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CD05BD" w:rsidRPr="00AE29B2" w:rsidRDefault="00CD05BD" w:rsidP="003A10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="003A10E7"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proofErr w:type="gramStart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научится: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и использовать технические действия спортивных игр: </w:t>
      </w:r>
    </w:p>
    <w:p w:rsidR="00CD05BD" w:rsidRPr="00AE29B2" w:rsidRDefault="00CD05BD" w:rsidP="00CD05B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507BF" w:rsidRDefault="002507BF" w:rsidP="002507BF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color w:val="333333"/>
          <w:sz w:val="28"/>
          <w:szCs w:val="28"/>
        </w:rPr>
      </w:pPr>
    </w:p>
    <w:p w:rsidR="00386B72" w:rsidRPr="00AE29B2" w:rsidRDefault="00386B72" w:rsidP="002507B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b/>
          <w:bCs/>
          <w:color w:val="333333"/>
          <w:sz w:val="28"/>
          <w:szCs w:val="28"/>
        </w:rPr>
        <w:t>Содержание программы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Содержание данной программы рассчитано на систему трехразовых занятий в неделю.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E29B2">
        <w:rPr>
          <w:color w:val="333333"/>
          <w:sz w:val="28"/>
          <w:szCs w:val="28"/>
        </w:rPr>
        <w:t>Данная программа содержит материал теоретических и практических занятий.</w:t>
      </w:r>
    </w:p>
    <w:p w:rsidR="00386B72" w:rsidRPr="00AE29B2" w:rsidRDefault="00386B72" w:rsidP="00386B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6B72" w:rsidRPr="00AE29B2" w:rsidRDefault="00386B72" w:rsidP="00386B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B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right" w:tblpY="17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6"/>
        <w:gridCol w:w="1702"/>
        <w:gridCol w:w="1560"/>
      </w:tblGrid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подготовки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    Водная тренировка.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Медико-биологические исследования.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Передвижение приставным шагом. Ловля мяча от пола. История развития баскетбола.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Передвижение приставным шагом. Ловля мяча от пола.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передвижения приставными шагами. Прыжки с толчком с двух ног. Передвижение приставным шагом. Ловля мяча от пола.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Передвижение приставным шагом. Ловля мяча от пола.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ОРУ. Действие без мяча. Переход с передвижением правым боком на передвижение </w:t>
            </w: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левым боком. Остановки. Передача мяча двумя руками от груди.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Переход с передвижением правым боком на передвижение левым боком. Остановки.</w:t>
            </w:r>
          </w:p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передвижения. Действие без мяча. Переход с передвижением правым боком на передвижение левым боком. Передача мяча двумя руками от груди.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передвижения. Действие без мяча. Передача мяча двумя руками от груди. Способы ловли мяча.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передвижения. Действие без мяча. Передача мяча двумя руками от груди. Способы ловли мяча.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передвижения. Действие без мяча. Передача мяча двумя руками от груди. Способы ловли мяча.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ействие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 без мяча Техника передвижения. Обучение стойки баскетболиста. Ведение мяча на месте.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ействие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 без мяча. Техника передвижения. Обучение стойки баскетболиста. Ведение мяча на месте.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ействие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 без мяча Техника передвижения. Стойка баскетболиста. Ведение мяча на месте. Способы ловли мяча.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Личная и общественная гигиена. Стойка баскетболиста. Ведение мяча в движении.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Действие без мяча. Техника передвижения. Стойка баскетболиста. Ведение мяча на месте.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Бросок мяча двумя руками от груди.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передвижения по площадке. Стойка баскетболиста.  Ведение мяча в движении.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перемещения по площадке. Стойка баскетболиста. Ведение мяча в движении.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перемещения по площадке. Стойка баскетболиста. Техника ведения мяча.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переводом на другую руку. Стойка баскетболиста.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переводом на другую руку. Стойка баскетболиста.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Взаимодействие двух игроков «передай мяч и выходи».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ОРУ. Техника передвижения по площадке. Стойка баскетболиста. Техника ведение мяча в движении. 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Круговая тренировка.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высоким и низким отскоком. Ловля двумя руками «низкого мяча». Стойка баскетболиста.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высоким и низким отскоком. Стойка баскетболиста.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изменением скорости передвижения. Стойка баскетболиста.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Чередование изученных технических приемов и их сочетаний.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Контрольные испытания.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изменением скорости передвижения. Командные действия в нападении.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 в движении.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 в движении. Подвижные игры.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 в движении с изменением направления. 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 в движении с изменением направления. 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 в движении с изменением направления.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Применение изученных способов ловли, передач мяча в зависимости от ситуации на площадке.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Применение изученных способов ловли, передач мяча в зависимости от ситуации на площадке.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ОРУ с мячами. Техника передвижения по </w:t>
            </w: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площадке. Стойка баскетболиста. Техника ведение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Применение изученных способов ловли, передач мяча в зависимости от ситуации на площадке.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Техника передвижения по площадке. Стойка баскетболиста. Техника ведение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Передачи мяча в парах. Остановки. Стойка баскетболиста.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Передачи мяча в парах. Остановки. Стойка баскетболиста.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Передачи мяча в парах. Остановки. Стойка баскетболиста.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Учебная игра. Соревнования.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безопасности.    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Медико-биологические исследования.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 с мячами. Круговая тренировка.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Техника передвижения. Передача мяча: одной рукой от плеча, снизу на месте и в движении с шагом и прыжком.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Применение изученных способов ловли, передач, ведения, бросков мяча в зависимости от ситуации на площадке.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Совершенствование техники ловли и передачи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Совершенствование тактических действий  в нападении и защите.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Общая характеристика спортивной тренировки. Учебная игра. Выбор способа передачи в зависимости от расстояния.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Взаимодействие двух игроков «подстраховка».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ОФП.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Совершенствование техники передачи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 xml:space="preserve">ОРУ. Учет в процессе тренировки. Бросок мяча одной рукой от плеча. Учебно-тренировочная игра. 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Совершенствование техники передачи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Техническая подготовка юного спортсмена.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Тактика защиты. Командные действия в нападении. Выбор способа ловли мяча в зависимости от направления и силы полета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Стойка защитника с выставленной ногой вперед.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Совершенствование техники ведения, ловли и передачи мяча.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Действия одного защитника против двух нападающих.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Многократное выполнение технических приемов и тактических действий.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Многократное выполнение технических приемов и тактических действий.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Интегр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B72" w:rsidRPr="00AE29B2" w:rsidTr="00E65A34">
        <w:tc>
          <w:tcPr>
            <w:tcW w:w="71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6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ОРУ. Ведение мяча с изменением направления с обводкой препятствия. Учебно-тренировочная игра.</w:t>
            </w:r>
          </w:p>
        </w:tc>
        <w:tc>
          <w:tcPr>
            <w:tcW w:w="1702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86B72" w:rsidRPr="00AE29B2" w:rsidRDefault="00386B72" w:rsidP="00E65A3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2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29B2" w:rsidRPr="00AE29B2" w:rsidRDefault="00AE29B2" w:rsidP="00E65A34">
      <w:pPr>
        <w:pStyle w:val="ac"/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</w:pPr>
    </w:p>
    <w:p w:rsidR="00AE29B2" w:rsidRPr="00AE29B2" w:rsidRDefault="00AE29B2" w:rsidP="00E65A34">
      <w:pPr>
        <w:pStyle w:val="ac"/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</w:pP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  <w:t>Список</w:t>
      </w:r>
      <w:r w:rsidR="007B7C59"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  <w:t xml:space="preserve"> </w:t>
      </w:r>
      <w:bookmarkStart w:id="7" w:name="_GoBack"/>
      <w:bookmarkEnd w:id="7"/>
      <w:r w:rsidRPr="00AE29B2">
        <w:rPr>
          <w:rStyle w:val="a4"/>
          <w:rFonts w:ascii="Times New Roman" w:hAnsi="Times New Roman" w:cs="Times New Roman"/>
          <w:b/>
          <w:i w:val="0"/>
          <w:color w:val="0D0D0D"/>
          <w:sz w:val="28"/>
          <w:szCs w:val="28"/>
        </w:rPr>
        <w:t>литературы: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1</w:t>
      </w:r>
      <w:r w:rsidR="00E65A34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АндреевВ.И.ФакторыопределяющиеэффективностьтехникидистанционногоброскавбаскетболеАвтореф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.д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ис…..канд.пед.наук.-Омск,1988-21с.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Айропетянц</w:t>
      </w:r>
      <w:proofErr w:type="spellEnd"/>
      <w:r w:rsidR="007B7C59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Л.Р.,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Гадик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М.А.  Спортивные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игры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Ташкент  :  2  Ибн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.С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ин.1881.-90с.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3. Баскетбол. Броски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кольцу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: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Мастера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советуют.//Физкультура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 – 1990. - №7 –с.15-17.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4. Баскетбол: Учебник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для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институтов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физической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культуры// Ю.М.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Портнова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.-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М.:Физкультура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1988.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5. Баскетбол: Учебник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для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вузов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физической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культуры//   Ю.М. Портнова. -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М.:Физкультур</w:t>
      </w:r>
      <w:r w:rsidR="00954437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1997.-480с.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6.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БеловС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Баскетбол. Броски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кольцу //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школе.-1990.- №6,7- с.17-18.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7.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БондарьА.И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Учись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играть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 – Минск:  Полынья  ,  1986.  –111с.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8.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ВальтинА.И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Мини-баскетбол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школе. - М.: Просвещение,1976.-111с.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9.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ВальтинА.И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 Методикасовершенствованиявтехникебросковмячавигребаскетбол/.Автореф.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дис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насоиск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  учен.  степ.  канд.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пед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  наук. 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-К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иев, 1984.-24с.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10.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ДаниловВ.А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Повышения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эффективности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игровых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действий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баскетболе:1996.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11.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ДжонР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.,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Вуден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 Современный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баскетбол.  -  М.:  Физкультураиспорт,1997.-58с.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12.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Дъячков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В.М.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Современствования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технического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мастерства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спортсменов.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–М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.: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1972.-35с.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13.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ЗельдовичТ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.,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КершинасС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 Подготовка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юных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баскетболистов.  –  М.: Физкультураиспорт,1964.-48с.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lastRenderedPageBreak/>
        <w:t xml:space="preserve">14.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ЗининА.М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Детский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баскетбол. - М.: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  ,  1969.- 183с.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15.  Кудряшов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В.А.,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Мирошникова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Р.В.  Технические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приемы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игры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баскетбол. – Волгоград, 1984.-35с.</w:t>
      </w:r>
    </w:p>
    <w:p w:rsidR="00386B7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16.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КудряшовВ.А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.,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Рудакос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В.И. Баскетбол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школе/ Учебное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пособие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для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учителей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школ. Л.,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Учпедлит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, 1960.</w:t>
      </w:r>
    </w:p>
    <w:p w:rsidR="00182F8C" w:rsidRPr="00AE29B2" w:rsidRDefault="00182F8C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17.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КоузиБ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.,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ПауэрФ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Анализ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концепции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современном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баскетболе. 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–М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.: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1975.-120с. 18. Кузин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В.В.,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Полиевский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С.А., Баскетбол. Начальный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этап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обучения, 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-М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.: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1999.-133с.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19.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ЛиндбергФ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Баскетбол: Игры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обучение. – М.: Физкультураиспорт,1971.-278с.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20.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ЛысенкоВ.В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.,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МихайлинаТ.М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., Долгова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В.А.,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ЖиленкоВ.А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 Практикум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спортивной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метрологии/Учебное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пособие – Краснодар: КГАФК, 1997.-179с.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21.  Матрунин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В.П. Баскетбол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уроках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 V-VI классах. //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школе– 1990.-№1- с.18-21.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22.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Манасанян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Ж.А. </w:t>
      </w:r>
      <w:r w:rsidR="00954437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Эфф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ективныесредстваиметодыобучениябаскетболудетеймладшегошкольноговозраста./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Автореф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,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дис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….</w:t>
      </w:r>
      <w:r w:rsidR="00954437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ка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нд. 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пед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 наук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 – 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.,1986.-25с.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23.  Матвеев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Л.П.  Теория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методика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физической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культуры.  –   М.: Физкультураиспорт,1991.-543с.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24.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Мирошникова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Р.В., Потапова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Н.М., Кудряшов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В.А.  Начальное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обучение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баскетболу.- Волгоград,1994.-35с.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25.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НестеровскийД.И</w:t>
      </w:r>
      <w:proofErr w:type="spell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., Железняк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Ю.Д. На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уроках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баскетбол//  Физическая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школе. –1991.-№2- с. 27-30.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26.  Обучение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технике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игры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баскетбол/  Метод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 </w:t>
      </w:r>
      <w:proofErr w:type="gramStart"/>
      <w:r w:rsidR="00E65A34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р</w:t>
      </w:r>
      <w:proofErr w:type="gramEnd"/>
      <w:r w:rsidR="00E65A34"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екомендации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для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студентов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ИФК. 1992.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27.  Платонов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В.Н.  ПодготовкаквалифицированныхспортсменовМ.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:-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Физкультураиспорт,1986.-286 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28.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Полянцева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Н.В. Тренировкаточностивыполнениятехническихприемовуюныхбаскетболистов 10-12 лет.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29.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Суетнов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К.В. Обучение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школьников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и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гре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баскетбол/ Учебное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пособие. – Алма-Ата,1985-92с.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30.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Суетнов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К.В. Баскетбол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  5-8  классах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общеобразовательной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школы: Учебное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пособие,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-А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лма-Ата, 1987-82с.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31.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Туркунов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Б.И. Обучение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баскетболу (V-VI  </w:t>
      </w:r>
      <w:proofErr w:type="gram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классах</w:t>
      </w:r>
      <w:proofErr w:type="gramEnd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)// 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школе. – 1993.-№4.-С.13-20.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32. Программа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физического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воспитания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основе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одного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из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видов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спорта // Физическая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школе. Ульянов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В.А. Баскетбол. Первые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шаги. // Физкультуравшколе.-1990.-№1- с 37-40.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34. Федосеев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В.В. На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уроках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баскетбола.// Физкультуравшколе-1995.- №2-с.26-27.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35. Шерстюк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А.А. 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др. Баскетбол: основные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технические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приемы, методика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обучения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группах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начальной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подготовки: Учебное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пособие, - Омск, 1991.-60с.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36. </w:t>
      </w:r>
      <w:proofErr w:type="spellStart"/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Хмелик</w:t>
      </w:r>
      <w:proofErr w:type="spellEnd"/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Н.А. Постарайся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попасть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кольцо. – М.: Физкультура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1985.-70с.</w:t>
      </w:r>
    </w:p>
    <w:p w:rsidR="00386B72" w:rsidRPr="00AE29B2" w:rsidRDefault="00386B72" w:rsidP="00E65A34">
      <w:pPr>
        <w:pStyle w:val="ac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37. Яхонтов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Е.Р., Генкин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В.А. Баскетбол. –  М.:  Физкультур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а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спорт, 1978.-45с.</w:t>
      </w:r>
    </w:p>
    <w:p w:rsidR="00386B72" w:rsidRPr="00AE29B2" w:rsidRDefault="00386B72" w:rsidP="00E65A34">
      <w:pPr>
        <w:pStyle w:val="ac"/>
        <w:rPr>
          <w:rStyle w:val="a7"/>
          <w:rFonts w:ascii="Times New Roman" w:hAnsi="Times New Roman" w:cs="Times New Roman"/>
          <w:i w:val="0"/>
          <w:iCs w:val="0"/>
          <w:color w:val="0D0D0D"/>
          <w:sz w:val="28"/>
          <w:szCs w:val="28"/>
        </w:rPr>
      </w:pPr>
      <w:r w:rsidRPr="00AE29B2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>38. Яхонтов</w:t>
      </w:r>
      <w:r w:rsidR="00F967FC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>Е.Р. Мини-баскетбол. – М.: Физкультура</w:t>
      </w:r>
      <w:r w:rsidR="00F967FC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>и</w:t>
      </w:r>
      <w:r w:rsidR="00F967FC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  <w:r w:rsidRPr="00AE29B2">
        <w:rPr>
          <w:rStyle w:val="a7"/>
          <w:rFonts w:ascii="Times New Roman" w:hAnsi="Times New Roman" w:cs="Times New Roman"/>
          <w:i w:val="0"/>
          <w:color w:val="0D0D0D"/>
          <w:sz w:val="28"/>
          <w:szCs w:val="28"/>
        </w:rPr>
        <w:t>спорт, 1987.-35с.</w:t>
      </w:r>
    </w:p>
    <w:p w:rsidR="00386B72" w:rsidRPr="00AE29B2" w:rsidRDefault="00386B72">
      <w:pPr>
        <w:rPr>
          <w:rFonts w:ascii="Times New Roman" w:hAnsi="Times New Roman" w:cs="Times New Roman"/>
          <w:sz w:val="28"/>
          <w:szCs w:val="28"/>
        </w:rPr>
      </w:pPr>
    </w:p>
    <w:sectPr w:rsidR="00386B72" w:rsidRPr="00AE29B2" w:rsidSect="00182F8C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C" w:rsidRDefault="00F967FC" w:rsidP="0061548D">
      <w:pPr>
        <w:spacing w:after="0" w:line="240" w:lineRule="auto"/>
      </w:pPr>
      <w:r>
        <w:separator/>
      </w:r>
    </w:p>
  </w:endnote>
  <w:endnote w:type="continuationSeparator" w:id="0">
    <w:p w:rsidR="00F967FC" w:rsidRDefault="00F967FC" w:rsidP="0061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C" w:rsidRDefault="00F967FC" w:rsidP="0061548D">
      <w:pPr>
        <w:spacing w:after="0" w:line="240" w:lineRule="auto"/>
      </w:pPr>
      <w:r>
        <w:separator/>
      </w:r>
    </w:p>
  </w:footnote>
  <w:footnote w:type="continuationSeparator" w:id="0">
    <w:p w:rsidR="00F967FC" w:rsidRDefault="00F967FC" w:rsidP="0061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1D1"/>
    <w:multiLevelType w:val="multilevel"/>
    <w:tmpl w:val="A81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3950"/>
    <w:multiLevelType w:val="hybridMultilevel"/>
    <w:tmpl w:val="554E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B72"/>
    <w:rsid w:val="000C1294"/>
    <w:rsid w:val="000D61B6"/>
    <w:rsid w:val="00182F8C"/>
    <w:rsid w:val="00196862"/>
    <w:rsid w:val="001A3C63"/>
    <w:rsid w:val="002507BF"/>
    <w:rsid w:val="00386B72"/>
    <w:rsid w:val="003A10E7"/>
    <w:rsid w:val="00424E6D"/>
    <w:rsid w:val="00494AB0"/>
    <w:rsid w:val="00536368"/>
    <w:rsid w:val="0061548D"/>
    <w:rsid w:val="00734E55"/>
    <w:rsid w:val="007B7C59"/>
    <w:rsid w:val="007E2728"/>
    <w:rsid w:val="00834B83"/>
    <w:rsid w:val="00954437"/>
    <w:rsid w:val="00995CB1"/>
    <w:rsid w:val="009E2165"/>
    <w:rsid w:val="009F2287"/>
    <w:rsid w:val="00A5052F"/>
    <w:rsid w:val="00A8093E"/>
    <w:rsid w:val="00A835B9"/>
    <w:rsid w:val="00AE29B2"/>
    <w:rsid w:val="00B02795"/>
    <w:rsid w:val="00C82B05"/>
    <w:rsid w:val="00C82EF7"/>
    <w:rsid w:val="00CC6D86"/>
    <w:rsid w:val="00CD05BD"/>
    <w:rsid w:val="00E65A34"/>
    <w:rsid w:val="00E77522"/>
    <w:rsid w:val="00E92A11"/>
    <w:rsid w:val="00F80CF0"/>
    <w:rsid w:val="00F9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B72"/>
    <w:rPr>
      <w:i/>
      <w:iCs/>
    </w:rPr>
  </w:style>
  <w:style w:type="paragraph" w:styleId="a5">
    <w:name w:val="Body Text Indent"/>
    <w:basedOn w:val="a"/>
    <w:link w:val="a6"/>
    <w:rsid w:val="00386B72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6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uiPriority w:val="19"/>
    <w:qFormat/>
    <w:rsid w:val="00386B72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61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48D"/>
  </w:style>
  <w:style w:type="paragraph" w:styleId="aa">
    <w:name w:val="footer"/>
    <w:basedOn w:val="a"/>
    <w:link w:val="ab"/>
    <w:uiPriority w:val="99"/>
    <w:unhideWhenUsed/>
    <w:rsid w:val="0061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48D"/>
  </w:style>
  <w:style w:type="paragraph" w:styleId="ac">
    <w:name w:val="No Spacing"/>
    <w:uiPriority w:val="1"/>
    <w:qFormat/>
    <w:rsid w:val="0061548D"/>
    <w:pPr>
      <w:spacing w:after="0" w:line="240" w:lineRule="auto"/>
    </w:pPr>
  </w:style>
  <w:style w:type="character" w:styleId="ad">
    <w:name w:val="Strong"/>
    <w:basedOn w:val="a0"/>
    <w:uiPriority w:val="22"/>
    <w:qFormat/>
    <w:rsid w:val="00CD05B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6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18</cp:lastModifiedBy>
  <cp:revision>20</cp:revision>
  <cp:lastPrinted>2024-09-30T10:59:00Z</cp:lastPrinted>
  <dcterms:created xsi:type="dcterms:W3CDTF">2019-09-11T08:05:00Z</dcterms:created>
  <dcterms:modified xsi:type="dcterms:W3CDTF">2024-10-02T12:06:00Z</dcterms:modified>
</cp:coreProperties>
</file>